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B3" w:rsidRDefault="008621B3" w:rsidP="008621B3">
      <w:pPr>
        <w:jc w:val="left"/>
      </w:pPr>
    </w:p>
    <w:p w:rsidR="00B01169" w:rsidRDefault="00162FF0" w:rsidP="006A06B4">
      <w:pPr>
        <w:rPr>
          <w:rFonts w:ascii="Rockwell" w:hAnsi="Rockwell"/>
          <w:sz w:val="52"/>
          <w:szCs w:val="52"/>
        </w:rPr>
      </w:pPr>
      <w:r>
        <w:rPr>
          <w:rFonts w:ascii="Rockwell" w:hAnsi="Rockwell"/>
          <w:sz w:val="52"/>
          <w:szCs w:val="52"/>
        </w:rPr>
        <w:t>Responding to Non Fiction</w:t>
      </w:r>
      <w:r w:rsidR="00B350B1">
        <w:rPr>
          <w:rFonts w:ascii="Rockwell" w:hAnsi="Rockwell"/>
          <w:sz w:val="52"/>
          <w:szCs w:val="52"/>
        </w:rPr>
        <w:t xml:space="preserve"> Text (Summary)</w:t>
      </w:r>
    </w:p>
    <w:p w:rsidR="0010275B" w:rsidRPr="008621B3" w:rsidRDefault="0010275B" w:rsidP="006A06B4">
      <w:pPr>
        <w:rPr>
          <w:rFonts w:ascii="Rockwell" w:hAnsi="Rockwell"/>
          <w:sz w:val="52"/>
          <w:szCs w:val="52"/>
        </w:rPr>
      </w:pPr>
      <w:bookmarkStart w:id="0" w:name="_GoBack"/>
      <w:bookmarkEnd w:id="0"/>
    </w:p>
    <w:tbl>
      <w:tblPr>
        <w:tblStyle w:val="TableGrid"/>
        <w:tblW w:w="14580" w:type="dxa"/>
        <w:tblInd w:w="-252" w:type="dxa"/>
        <w:tblLook w:val="04A0" w:firstRow="1" w:lastRow="0" w:firstColumn="1" w:lastColumn="0" w:noHBand="0" w:noVBand="1"/>
      </w:tblPr>
      <w:tblGrid>
        <w:gridCol w:w="3330"/>
        <w:gridCol w:w="2970"/>
        <w:gridCol w:w="2700"/>
        <w:gridCol w:w="2610"/>
        <w:gridCol w:w="2970"/>
      </w:tblGrid>
      <w:tr w:rsidR="006A06B4" w:rsidRPr="004E219C" w:rsidTr="00582A4A">
        <w:tc>
          <w:tcPr>
            <w:tcW w:w="3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A06B4" w:rsidRPr="004E219C" w:rsidRDefault="006A06B4" w:rsidP="00152F2B">
            <w:pPr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>Category</w:t>
            </w:r>
          </w:p>
        </w:tc>
        <w:tc>
          <w:tcPr>
            <w:tcW w:w="2970" w:type="dxa"/>
            <w:tcBorders>
              <w:left w:val="triple" w:sz="4" w:space="0" w:color="auto"/>
            </w:tcBorders>
          </w:tcPr>
          <w:p w:rsidR="006A06B4" w:rsidRPr="004E219C" w:rsidRDefault="006A06B4" w:rsidP="00152F2B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6A06B4" w:rsidRPr="004E219C" w:rsidRDefault="006A06B4" w:rsidP="00152F2B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6A06B4" w:rsidRPr="004E219C" w:rsidRDefault="006A06B4" w:rsidP="00152F2B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6A06B4" w:rsidRPr="004E219C" w:rsidRDefault="006A06B4" w:rsidP="00152F2B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1</w:t>
            </w:r>
          </w:p>
        </w:tc>
      </w:tr>
      <w:tr w:rsidR="006A06B4" w:rsidRPr="004E219C" w:rsidTr="00582A4A">
        <w:tc>
          <w:tcPr>
            <w:tcW w:w="3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A06B4" w:rsidRPr="004E219C" w:rsidRDefault="006A06B4" w:rsidP="00152F2B">
            <w:pPr>
              <w:rPr>
                <w:rFonts w:ascii="Rockwell" w:hAnsi="Rockwell"/>
                <w:sz w:val="20"/>
                <w:szCs w:val="20"/>
              </w:rPr>
            </w:pPr>
          </w:p>
          <w:p w:rsidR="006A06B4" w:rsidRPr="004E219C" w:rsidRDefault="00162FF0" w:rsidP="00162FF0">
            <w:pPr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Main Idea and Evidence</w:t>
            </w:r>
          </w:p>
        </w:tc>
        <w:tc>
          <w:tcPr>
            <w:tcW w:w="2970" w:type="dxa"/>
            <w:tcBorders>
              <w:left w:val="triple" w:sz="4" w:space="0" w:color="auto"/>
            </w:tcBorders>
          </w:tcPr>
          <w:p w:rsidR="006A06B4" w:rsidRPr="004E219C" w:rsidRDefault="00A35DAC" w:rsidP="00190BF0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AE55FE">
              <w:rPr>
                <w:rFonts w:ascii="Rockwell" w:hAnsi="Rockwell"/>
                <w:sz w:val="20"/>
                <w:szCs w:val="20"/>
              </w:rPr>
              <w:t xml:space="preserve">Effectively </w:t>
            </w:r>
            <w:r w:rsidR="003F437B">
              <w:rPr>
                <w:rFonts w:ascii="Rockwell" w:hAnsi="Rockwell"/>
                <w:sz w:val="20"/>
                <w:szCs w:val="20"/>
              </w:rPr>
              <w:t>captures the main idea of the whole article in the topic sentence.</w:t>
            </w:r>
            <w:r w:rsidR="00AE55FE">
              <w:rPr>
                <w:rFonts w:ascii="Rockwell" w:hAnsi="Rockwell"/>
                <w:sz w:val="20"/>
                <w:szCs w:val="20"/>
              </w:rPr>
              <w:t xml:space="preserve">   E</w:t>
            </w:r>
            <w:r w:rsidR="00AE55FE" w:rsidRPr="004E219C">
              <w:rPr>
                <w:rFonts w:ascii="Rockwell" w:hAnsi="Rockwell"/>
                <w:sz w:val="20"/>
                <w:szCs w:val="20"/>
              </w:rPr>
              <w:t>xplicit</w:t>
            </w:r>
            <w:r w:rsidRPr="004E219C">
              <w:rPr>
                <w:rFonts w:ascii="Rockwell" w:hAnsi="Rockwell"/>
                <w:sz w:val="20"/>
                <w:szCs w:val="20"/>
              </w:rPr>
              <w:t>,</w:t>
            </w:r>
            <w:r>
              <w:rPr>
                <w:rFonts w:ascii="Rockwell" w:hAnsi="Rockwell"/>
                <w:sz w:val="20"/>
                <w:szCs w:val="20"/>
              </w:rPr>
              <w:t xml:space="preserve"> details</w:t>
            </w:r>
            <w:r w:rsidR="003F437B">
              <w:rPr>
                <w:rFonts w:ascii="Rockwell" w:hAnsi="Rockwell"/>
                <w:sz w:val="20"/>
                <w:szCs w:val="20"/>
              </w:rPr>
              <w:t xml:space="preserve"> and</w:t>
            </w:r>
            <w:r w:rsidRPr="004E219C">
              <w:rPr>
                <w:rFonts w:ascii="Rockwell" w:hAnsi="Rockwell"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sz w:val="20"/>
                <w:szCs w:val="20"/>
              </w:rPr>
              <w:t xml:space="preserve">strong </w:t>
            </w:r>
            <w:r w:rsidR="003F437B">
              <w:rPr>
                <w:rFonts w:ascii="Rockwell" w:hAnsi="Rockwell"/>
                <w:sz w:val="20"/>
                <w:szCs w:val="20"/>
              </w:rPr>
              <w:t>examples</w:t>
            </w:r>
            <w:r w:rsidR="00C10CBF">
              <w:rPr>
                <w:rFonts w:ascii="Rockwell" w:hAnsi="Rockwell"/>
                <w:sz w:val="20"/>
                <w:szCs w:val="20"/>
              </w:rPr>
              <w:t xml:space="preserve"> from the text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C972F3">
              <w:rPr>
                <w:rFonts w:ascii="Rockwell" w:hAnsi="Rockwell"/>
                <w:sz w:val="20"/>
                <w:szCs w:val="20"/>
              </w:rPr>
              <w:t xml:space="preserve">accurately and thoroughly </w:t>
            </w:r>
            <w:r w:rsidR="00190BF0">
              <w:rPr>
                <w:rFonts w:ascii="Rockwell" w:hAnsi="Rockwell"/>
                <w:sz w:val="20"/>
                <w:szCs w:val="20"/>
              </w:rPr>
              <w:t>capture the three most important points from the article.</w:t>
            </w:r>
          </w:p>
        </w:tc>
        <w:tc>
          <w:tcPr>
            <w:tcW w:w="2700" w:type="dxa"/>
          </w:tcPr>
          <w:p w:rsidR="006A06B4" w:rsidRPr="004E219C" w:rsidRDefault="00190BF0" w:rsidP="00190BF0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Generally states the main idea in the topic sentence.</w:t>
            </w:r>
            <w:r w:rsidR="00AE55FE">
              <w:rPr>
                <w:rFonts w:ascii="Rockwell" w:hAnsi="Rockwell"/>
                <w:sz w:val="20"/>
                <w:szCs w:val="20"/>
              </w:rPr>
              <w:t xml:space="preserve">  </w:t>
            </w:r>
            <w:r w:rsidR="00C10CBF">
              <w:rPr>
                <w:rFonts w:ascii="Rockwell" w:hAnsi="Rockwell"/>
                <w:sz w:val="20"/>
                <w:szCs w:val="20"/>
              </w:rPr>
              <w:t>Some d</w:t>
            </w:r>
            <w:r w:rsidR="00A35DAC">
              <w:rPr>
                <w:rFonts w:ascii="Rockwell" w:hAnsi="Rockwell"/>
                <w:sz w:val="20"/>
                <w:szCs w:val="20"/>
              </w:rPr>
              <w:t>etails</w:t>
            </w:r>
            <w:r>
              <w:rPr>
                <w:rFonts w:ascii="Rockwell" w:hAnsi="Rockwell"/>
                <w:sz w:val="20"/>
                <w:szCs w:val="20"/>
              </w:rPr>
              <w:t xml:space="preserve"> and </w:t>
            </w:r>
            <w:r w:rsidR="00A35DAC">
              <w:rPr>
                <w:rFonts w:ascii="Rockwell" w:hAnsi="Rockwell"/>
                <w:sz w:val="20"/>
                <w:szCs w:val="20"/>
              </w:rPr>
              <w:t>examples</w:t>
            </w:r>
            <w:r w:rsidR="00C10CBF">
              <w:rPr>
                <w:rFonts w:ascii="Rockwell" w:hAnsi="Rockwell"/>
                <w:sz w:val="20"/>
                <w:szCs w:val="20"/>
              </w:rPr>
              <w:t xml:space="preserve"> from the text</w:t>
            </w:r>
            <w:r w:rsidR="00C972F3">
              <w:rPr>
                <w:rFonts w:ascii="Rockwell" w:hAnsi="Rockwell"/>
                <w:sz w:val="20"/>
                <w:szCs w:val="20"/>
              </w:rPr>
              <w:t xml:space="preserve"> help</w:t>
            </w:r>
            <w:r>
              <w:rPr>
                <w:rFonts w:ascii="Rockwell" w:hAnsi="Rockwell"/>
                <w:sz w:val="20"/>
                <w:szCs w:val="20"/>
              </w:rPr>
              <w:t xml:space="preserve"> support three main points in the article.   </w:t>
            </w:r>
          </w:p>
        </w:tc>
        <w:tc>
          <w:tcPr>
            <w:tcW w:w="2610" w:type="dxa"/>
          </w:tcPr>
          <w:p w:rsidR="006A06B4" w:rsidRPr="004E219C" w:rsidRDefault="00C972F3" w:rsidP="00190BF0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The</w:t>
            </w:r>
            <w:r w:rsidR="00190BF0">
              <w:rPr>
                <w:rFonts w:ascii="Rockwell" w:hAnsi="Rockwell"/>
                <w:sz w:val="20"/>
                <w:szCs w:val="20"/>
              </w:rPr>
              <w:t xml:space="preserve"> main idea of the article is not captured in the topic sentence.  </w:t>
            </w:r>
            <w:r w:rsidR="00A35DAC" w:rsidRPr="004E219C">
              <w:rPr>
                <w:rFonts w:ascii="Rockwell" w:hAnsi="Rockwell"/>
                <w:sz w:val="20"/>
                <w:szCs w:val="20"/>
              </w:rPr>
              <w:t>The examples are not that specific or detailed.</w:t>
            </w: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A35DAC"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2C16E8" w:rsidRPr="004E219C" w:rsidRDefault="00C10CBF" w:rsidP="00190BF0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</w:t>
            </w:r>
            <w:r w:rsidR="006A06B4" w:rsidRPr="004E219C">
              <w:rPr>
                <w:rFonts w:ascii="Rockwell" w:hAnsi="Rockwell"/>
                <w:sz w:val="20"/>
                <w:szCs w:val="20"/>
              </w:rPr>
              <w:t xml:space="preserve">ost of the </w:t>
            </w:r>
            <w:r w:rsidR="00190BF0">
              <w:rPr>
                <w:rFonts w:ascii="Rockwell" w:hAnsi="Rockwell"/>
                <w:sz w:val="20"/>
                <w:szCs w:val="20"/>
              </w:rPr>
              <w:t>Summary</w:t>
            </w:r>
            <w:r w:rsidR="00C972F3">
              <w:rPr>
                <w:rFonts w:ascii="Rockwell" w:hAnsi="Rockwell"/>
                <w:sz w:val="20"/>
                <w:szCs w:val="20"/>
              </w:rPr>
              <w:t xml:space="preserve"> does not stay on topic or</w:t>
            </w:r>
            <w:r w:rsidR="00190BF0">
              <w:rPr>
                <w:rFonts w:ascii="Rockwell" w:hAnsi="Rockwell"/>
                <w:sz w:val="20"/>
                <w:szCs w:val="20"/>
              </w:rPr>
              <w:t xml:space="preserve"> address the main idea of the article.</w:t>
            </w:r>
          </w:p>
        </w:tc>
      </w:tr>
      <w:tr w:rsidR="004E219C" w:rsidRPr="004E219C" w:rsidTr="00582A4A">
        <w:tc>
          <w:tcPr>
            <w:tcW w:w="3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E219C" w:rsidRPr="004E219C" w:rsidRDefault="004E219C" w:rsidP="00152F2B">
            <w:pPr>
              <w:rPr>
                <w:rFonts w:ascii="Rockwell" w:hAnsi="Rockwell"/>
                <w:sz w:val="20"/>
                <w:szCs w:val="20"/>
              </w:rPr>
            </w:pPr>
          </w:p>
          <w:p w:rsidR="004E219C" w:rsidRPr="004E219C" w:rsidRDefault="004E219C" w:rsidP="00193213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Language Use (Spelling &amp; Punctuation)</w:t>
            </w:r>
          </w:p>
        </w:tc>
        <w:tc>
          <w:tcPr>
            <w:tcW w:w="2970" w:type="dxa"/>
            <w:tcBorders>
              <w:left w:val="triple" w:sz="4" w:space="0" w:color="auto"/>
            </w:tcBorders>
          </w:tcPr>
          <w:p w:rsidR="004E219C" w:rsidRPr="004E219C" w:rsidRDefault="004E219C" w:rsidP="00193213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>Varied sentence structure is evident; vivid, interesting word choice clarifies and explains the information; effective use of transition words and consistent verb tense; no errors in mechanics noted.</w:t>
            </w:r>
          </w:p>
        </w:tc>
        <w:tc>
          <w:tcPr>
            <w:tcW w:w="2700" w:type="dxa"/>
          </w:tcPr>
          <w:p w:rsidR="004E219C" w:rsidRPr="004E219C" w:rsidRDefault="004E219C" w:rsidP="00193213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>Some variation in sentence structure; word choice is appropriate; transition words used and consistent verb tense; few errors in mechanics noted.</w:t>
            </w:r>
          </w:p>
        </w:tc>
        <w:tc>
          <w:tcPr>
            <w:tcW w:w="2610" w:type="dxa"/>
          </w:tcPr>
          <w:p w:rsidR="004E219C" w:rsidRPr="004E219C" w:rsidRDefault="004E219C" w:rsidP="00152F2B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>Sentence structure is mostly the same format; word choice is rarely vivid or interesting; few transition words and some shifts in verb tense; several errors in mechanics noted.</w:t>
            </w:r>
          </w:p>
        </w:tc>
        <w:tc>
          <w:tcPr>
            <w:tcW w:w="2970" w:type="dxa"/>
          </w:tcPr>
          <w:p w:rsidR="004E219C" w:rsidRPr="004E219C" w:rsidRDefault="004E219C" w:rsidP="00B73B6C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 xml:space="preserve">The writer has not taken time to proofread and the </w:t>
            </w:r>
            <w:r w:rsidR="00B73B6C">
              <w:rPr>
                <w:rFonts w:ascii="Rockwell" w:hAnsi="Rockwell"/>
                <w:sz w:val="20"/>
                <w:szCs w:val="20"/>
              </w:rPr>
              <w:t>open response</w:t>
            </w:r>
            <w:r w:rsidRPr="004E219C">
              <w:rPr>
                <w:rFonts w:ascii="Rockwell" w:hAnsi="Rockwell"/>
                <w:sz w:val="20"/>
                <w:szCs w:val="20"/>
              </w:rPr>
              <w:t xml:space="preserve"> includes several errors.</w:t>
            </w:r>
          </w:p>
        </w:tc>
      </w:tr>
      <w:tr w:rsidR="004E219C" w:rsidRPr="004E219C" w:rsidTr="00582A4A">
        <w:tc>
          <w:tcPr>
            <w:tcW w:w="33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E219C" w:rsidRPr="004E219C" w:rsidRDefault="004E219C" w:rsidP="00152F2B">
            <w:pPr>
              <w:rPr>
                <w:rFonts w:ascii="Rockwell" w:hAnsi="Rockwell"/>
                <w:sz w:val="20"/>
                <w:szCs w:val="20"/>
              </w:rPr>
            </w:pPr>
          </w:p>
          <w:p w:rsidR="004E219C" w:rsidRPr="004E219C" w:rsidRDefault="004E219C" w:rsidP="00152F2B">
            <w:pPr>
              <w:rPr>
                <w:rFonts w:ascii="Rockwell" w:hAnsi="Rockwell"/>
                <w:b/>
                <w:sz w:val="20"/>
                <w:szCs w:val="20"/>
              </w:rPr>
            </w:pPr>
            <w:r w:rsidRPr="004E219C">
              <w:rPr>
                <w:rFonts w:ascii="Rockwell" w:hAnsi="Rockwell"/>
                <w:b/>
                <w:sz w:val="20"/>
                <w:szCs w:val="20"/>
              </w:rPr>
              <w:t>Organizational Structure</w:t>
            </w:r>
          </w:p>
        </w:tc>
        <w:tc>
          <w:tcPr>
            <w:tcW w:w="2970" w:type="dxa"/>
            <w:tcBorders>
              <w:left w:val="triple" w:sz="4" w:space="0" w:color="auto"/>
            </w:tcBorders>
          </w:tcPr>
          <w:p w:rsidR="004E219C" w:rsidRPr="004E219C" w:rsidRDefault="004E219C" w:rsidP="00190BF0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 xml:space="preserve">Organizational patterns </w:t>
            </w:r>
            <w:r w:rsidR="00190BF0">
              <w:rPr>
                <w:rFonts w:ascii="Rockwell" w:hAnsi="Rockwell"/>
                <w:sz w:val="20"/>
                <w:szCs w:val="20"/>
              </w:rPr>
              <w:t xml:space="preserve">in the 6 to 8 sentence paragraph </w:t>
            </w:r>
            <w:r w:rsidRPr="004E219C">
              <w:rPr>
                <w:rFonts w:ascii="Rockwell" w:hAnsi="Rockwell"/>
                <w:sz w:val="20"/>
                <w:szCs w:val="20"/>
              </w:rPr>
              <w:t>enable the reader to seek out and clearly comprehend information presented</w:t>
            </w:r>
            <w:r w:rsidR="00B73B6C">
              <w:rPr>
                <w:rFonts w:ascii="Rockwell" w:hAnsi="Rockwell"/>
                <w:sz w:val="20"/>
                <w:szCs w:val="20"/>
              </w:rPr>
              <w:t xml:space="preserve">.  </w:t>
            </w:r>
          </w:p>
        </w:tc>
        <w:tc>
          <w:tcPr>
            <w:tcW w:w="2700" w:type="dxa"/>
          </w:tcPr>
          <w:p w:rsidR="004E219C" w:rsidRPr="004E219C" w:rsidRDefault="004E219C" w:rsidP="001A1DDD">
            <w:pPr>
              <w:jc w:val="left"/>
              <w:rPr>
                <w:rFonts w:ascii="Rockwell" w:hAnsi="Rockwell"/>
                <w:sz w:val="20"/>
                <w:szCs w:val="20"/>
              </w:rPr>
            </w:pPr>
            <w:r w:rsidRPr="004E219C">
              <w:rPr>
                <w:rFonts w:ascii="Rockwell" w:hAnsi="Rockwell"/>
                <w:sz w:val="20"/>
                <w:szCs w:val="20"/>
              </w:rPr>
              <w:t xml:space="preserve">Information is organized in a logical structure so that the reader can comprehend the presented material; a lead, body, and ending is easily recognizable.  </w:t>
            </w:r>
          </w:p>
        </w:tc>
        <w:tc>
          <w:tcPr>
            <w:tcW w:w="2610" w:type="dxa"/>
          </w:tcPr>
          <w:p w:rsidR="004E219C" w:rsidRPr="004E219C" w:rsidRDefault="00162FF0" w:rsidP="0055317E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The </w:t>
            </w:r>
            <w:r w:rsidR="0055317E">
              <w:rPr>
                <w:rFonts w:ascii="Rockwell" w:hAnsi="Rockwell"/>
                <w:sz w:val="20"/>
                <w:szCs w:val="20"/>
              </w:rPr>
              <w:t>Summary</w:t>
            </w:r>
            <w:r w:rsidR="004E219C" w:rsidRPr="004E219C">
              <w:rPr>
                <w:rFonts w:ascii="Rockwell" w:hAnsi="Rockwell"/>
                <w:sz w:val="20"/>
                <w:szCs w:val="20"/>
              </w:rPr>
              <w:t xml:space="preserve"> may lack a clearly recognizable organizational pattern; beginning, body and/or ending are weak.</w:t>
            </w:r>
          </w:p>
        </w:tc>
        <w:tc>
          <w:tcPr>
            <w:tcW w:w="2970" w:type="dxa"/>
          </w:tcPr>
          <w:p w:rsidR="004E219C" w:rsidRPr="004E219C" w:rsidRDefault="00162FF0" w:rsidP="0055317E">
            <w:pPr>
              <w:jc w:val="lef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The </w:t>
            </w:r>
            <w:r w:rsidR="0055317E">
              <w:rPr>
                <w:rFonts w:ascii="Rockwell" w:hAnsi="Rockwell"/>
                <w:sz w:val="20"/>
                <w:szCs w:val="20"/>
              </w:rPr>
              <w:t>Summary</w:t>
            </w:r>
            <w:r>
              <w:rPr>
                <w:rFonts w:ascii="Rockwell" w:hAnsi="Rockwell"/>
                <w:sz w:val="20"/>
                <w:szCs w:val="20"/>
              </w:rPr>
              <w:t xml:space="preserve"> is not organized and the information presented does not </w:t>
            </w:r>
            <w:r w:rsidR="0055317E">
              <w:rPr>
                <w:rFonts w:ascii="Rockwell" w:hAnsi="Rockwell"/>
                <w:sz w:val="20"/>
                <w:szCs w:val="20"/>
              </w:rPr>
              <w:t>support the main idea of the article.</w:t>
            </w:r>
          </w:p>
        </w:tc>
      </w:tr>
    </w:tbl>
    <w:p w:rsidR="00B01169" w:rsidRDefault="00B01169" w:rsidP="00B45591"/>
    <w:sectPr w:rsidR="00B01169" w:rsidSect="00AC6757">
      <w:pgSz w:w="15840" w:h="12240" w:orient="landscape"/>
      <w:pgMar w:top="630" w:right="27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3"/>
    <w:rsid w:val="000865D6"/>
    <w:rsid w:val="000A04C3"/>
    <w:rsid w:val="0010275B"/>
    <w:rsid w:val="001300D3"/>
    <w:rsid w:val="00162FF0"/>
    <w:rsid w:val="00163BC2"/>
    <w:rsid w:val="00190BF0"/>
    <w:rsid w:val="00193213"/>
    <w:rsid w:val="001A1DDD"/>
    <w:rsid w:val="001F5ECC"/>
    <w:rsid w:val="002C16E8"/>
    <w:rsid w:val="003F437B"/>
    <w:rsid w:val="004D394F"/>
    <w:rsid w:val="004E219C"/>
    <w:rsid w:val="00523130"/>
    <w:rsid w:val="0055317E"/>
    <w:rsid w:val="00582A4A"/>
    <w:rsid w:val="005B56FC"/>
    <w:rsid w:val="00635253"/>
    <w:rsid w:val="006A06B4"/>
    <w:rsid w:val="006B07A0"/>
    <w:rsid w:val="007426C1"/>
    <w:rsid w:val="008621B3"/>
    <w:rsid w:val="008A61AB"/>
    <w:rsid w:val="0090442D"/>
    <w:rsid w:val="00A35DAC"/>
    <w:rsid w:val="00AC6757"/>
    <w:rsid w:val="00AE55FE"/>
    <w:rsid w:val="00AF11AB"/>
    <w:rsid w:val="00B01169"/>
    <w:rsid w:val="00B03C73"/>
    <w:rsid w:val="00B058A6"/>
    <w:rsid w:val="00B350B1"/>
    <w:rsid w:val="00B403B0"/>
    <w:rsid w:val="00B45591"/>
    <w:rsid w:val="00B620CD"/>
    <w:rsid w:val="00B73B6C"/>
    <w:rsid w:val="00C028B9"/>
    <w:rsid w:val="00C10CBF"/>
    <w:rsid w:val="00C3508A"/>
    <w:rsid w:val="00C972F3"/>
    <w:rsid w:val="00CB2A1E"/>
    <w:rsid w:val="00D35955"/>
    <w:rsid w:val="00D940CC"/>
    <w:rsid w:val="00DA0C88"/>
    <w:rsid w:val="00E04BE8"/>
    <w:rsid w:val="00E74636"/>
    <w:rsid w:val="00F11615"/>
    <w:rsid w:val="00F460D6"/>
    <w:rsid w:val="00F56D67"/>
    <w:rsid w:val="00F82B9D"/>
    <w:rsid w:val="00FA663E"/>
    <w:rsid w:val="00FE09ED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D3"/>
    <w:pPr>
      <w:spacing w:after="200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00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00D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0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0D3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300D3"/>
    <w:pPr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0D3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86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D3"/>
    <w:pPr>
      <w:spacing w:after="200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00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00D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0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0D3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300D3"/>
    <w:pPr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0D3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862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Kristen Kilpatrick</cp:lastModifiedBy>
  <cp:revision>2</cp:revision>
  <dcterms:created xsi:type="dcterms:W3CDTF">2014-05-19T17:08:00Z</dcterms:created>
  <dcterms:modified xsi:type="dcterms:W3CDTF">2014-05-19T17:08:00Z</dcterms:modified>
</cp:coreProperties>
</file>